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063"/>
        <w:gridCol w:w="4236"/>
      </w:tblGrid>
      <w:tr w:rsidR="00AD2065" w:rsidTr="00396C07">
        <w:trPr>
          <w:trHeight w:val="915"/>
        </w:trPr>
        <w:tc>
          <w:tcPr>
            <w:tcW w:w="5644" w:type="dxa"/>
            <w:vAlign w:val="center"/>
          </w:tcPr>
          <w:p w:rsidR="00907E0D" w:rsidRDefault="00460688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303320">
              <w:rPr>
                <w:rFonts w:asciiTheme="majorHAnsi" w:eastAsiaTheme="majorEastAsia" w:hAnsiTheme="majorHAnsi" w:cstheme="majorBidi"/>
                <w:sz w:val="36"/>
                <w:szCs w:val="36"/>
              </w:rPr>
              <w:t>7</w:t>
            </w:r>
            <w:bookmarkStart w:id="0" w:name="_GoBack"/>
            <w:bookmarkEnd w:id="0"/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2625C7">
              <w:rPr>
                <w:rFonts w:asciiTheme="majorHAnsi" w:eastAsiaTheme="majorEastAsia" w:hAnsiTheme="majorHAnsi" w:cstheme="majorBidi"/>
                <w:sz w:val="36"/>
                <w:szCs w:val="36"/>
              </w:rPr>
              <w:t>Kasım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7B58E6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Default="00AB7627" w:rsidP="002625C7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8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2625C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Ocak 2018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3763D1F0" wp14:editId="0B79B45D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EF4E45" w:rsidRDefault="002625C7" w:rsidP="00AD2065">
      <w:pPr>
        <w:rPr>
          <w:b/>
        </w:rPr>
      </w:pPr>
      <w:r>
        <w:rPr>
          <w:b/>
        </w:rPr>
        <w:t>Kasım</w:t>
      </w:r>
      <w:r w:rsidR="007E6746">
        <w:rPr>
          <w:b/>
        </w:rPr>
        <w:t xml:space="preserve"> </w:t>
      </w:r>
      <w:r w:rsidR="00460688">
        <w:rPr>
          <w:b/>
        </w:rPr>
        <w:t>2017</w:t>
      </w:r>
      <w:r w:rsidR="00EF4E45" w:rsidRPr="00EF4E45">
        <w:rPr>
          <w:b/>
        </w:rPr>
        <w:t xml:space="preserve"> </w:t>
      </w:r>
      <w:r w:rsidR="007B58E6">
        <w:rPr>
          <w:b/>
        </w:rPr>
        <w:t>Sanayi Üretim Endeksi’ne</w:t>
      </w:r>
      <w:r w:rsidR="00EF4E45" w:rsidRPr="00EF4E45">
        <w:rPr>
          <w:b/>
        </w:rPr>
        <w:t xml:space="preserve"> ilişkin veriler Türkiye İstat</w:t>
      </w:r>
      <w:r w:rsidR="007441EB">
        <w:rPr>
          <w:b/>
        </w:rPr>
        <w:t xml:space="preserve">istik Kurumu (TÜİK) tarafından </w:t>
      </w:r>
      <w:r>
        <w:rPr>
          <w:b/>
        </w:rPr>
        <w:t>8</w:t>
      </w:r>
      <w:r w:rsidR="00C75496">
        <w:rPr>
          <w:b/>
        </w:rPr>
        <w:t xml:space="preserve"> </w:t>
      </w:r>
      <w:r>
        <w:rPr>
          <w:b/>
        </w:rPr>
        <w:t>Ocak</w:t>
      </w:r>
      <w:r w:rsidR="00FE2D1A">
        <w:rPr>
          <w:b/>
        </w:rPr>
        <w:t xml:space="preserve"> </w:t>
      </w:r>
      <w:r>
        <w:rPr>
          <w:b/>
        </w:rPr>
        <w:t>2018</w:t>
      </w:r>
      <w:r w:rsidR="00EF4E45" w:rsidRPr="00EF4E45">
        <w:rPr>
          <w:b/>
        </w:rPr>
        <w:t xml:space="preserve"> tarihinde yayımlandı.</w:t>
      </w:r>
    </w:p>
    <w:p w:rsidR="00DF5145" w:rsidRDefault="00EF4E45" w:rsidP="00EF4E45">
      <w:r>
        <w:t xml:space="preserve">TÜİK tarafından aylık yayımlanan </w:t>
      </w:r>
      <w:r w:rsidR="007B58E6" w:rsidRPr="007B58E6">
        <w:t>Sanayi Üretim Endeksi</w:t>
      </w:r>
      <w:r>
        <w:t>,</w:t>
      </w:r>
      <w:r w:rsidR="007B58E6">
        <w:t xml:space="preserve"> Türkiye’deki sanayi kuruluşlarının toplam üretiminin</w:t>
      </w:r>
      <w:r>
        <w:t xml:space="preserve"> zaman içindeki değişim</w:t>
      </w:r>
      <w:r w:rsidR="007B58E6">
        <w:t>i</w:t>
      </w:r>
      <w:r>
        <w:t xml:space="preserve"> hakkında bilgi vermektedir.</w:t>
      </w:r>
      <w:r w:rsidR="00522A6C" w:rsidRPr="00C04441">
        <w:rPr>
          <w:rStyle w:val="DipnotBavurusu"/>
        </w:rPr>
        <w:footnoteReference w:id="1"/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Aylara göre </w:t>
      </w:r>
      <w:r w:rsidR="00FD0F6A" w:rsidRPr="006D330B">
        <w:rPr>
          <w:rFonts w:eastAsia="Times New Roman" w:cs="Times New Roman"/>
          <w:b/>
          <w:bCs/>
          <w:kern w:val="36"/>
          <w:sz w:val="24"/>
          <w:szCs w:val="24"/>
        </w:rPr>
        <w:t>sanayi üretim endeksi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</w:p>
    <w:p w:rsidR="00E7657B" w:rsidRPr="006D330B" w:rsidRDefault="00FD0F6A" w:rsidP="00E7657B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(mevsim ve takvim etkilerinden arındırılmış, 2010=100)</w:t>
      </w:r>
    </w:p>
    <w:p w:rsidR="00FD0F6A" w:rsidRDefault="00370B3E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>
        <w:rPr>
          <w:noProof/>
        </w:rPr>
        <w:drawing>
          <wp:inline distT="0" distB="0" distL="0" distR="0" wp14:anchorId="0DF21610" wp14:editId="46C1563D">
            <wp:extent cx="5972175" cy="2295525"/>
            <wp:effectExtent l="0" t="0" r="9525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44CC" w:rsidRPr="00FE2D1A" w:rsidRDefault="00370B3E" w:rsidP="00C144CC">
      <w:pPr>
        <w:jc w:val="both"/>
      </w:pPr>
      <w:r>
        <w:t>Kasım</w:t>
      </w:r>
      <w:r w:rsidR="00574C38" w:rsidRPr="00C144CC">
        <w:t xml:space="preserve"> ayında Türkiye (TR) </w:t>
      </w:r>
      <w:r w:rsidR="00574C38" w:rsidRPr="00C04441">
        <w:t xml:space="preserve">Geneli </w:t>
      </w:r>
      <w:r w:rsidR="007B58E6" w:rsidRPr="00C04441">
        <w:t>Sanayi Üretim Endeksi</w:t>
      </w:r>
      <w:r w:rsidR="00574C38" w:rsidRPr="00C04441">
        <w:t xml:space="preserve"> </w:t>
      </w:r>
      <w:r w:rsidR="00EE2F80">
        <w:rPr>
          <w:b/>
          <w:u w:val="single"/>
        </w:rPr>
        <w:t>bir önceki aya (</w:t>
      </w:r>
      <w:r>
        <w:rPr>
          <w:b/>
          <w:u w:val="single"/>
        </w:rPr>
        <w:t>Ekim</w:t>
      </w:r>
      <w:r w:rsidR="0092656D">
        <w:rPr>
          <w:b/>
          <w:u w:val="single"/>
        </w:rPr>
        <w:t xml:space="preserve"> 2017</w:t>
      </w:r>
      <w:r w:rsidR="00574C38" w:rsidRPr="00FD0F6A">
        <w:rPr>
          <w:b/>
          <w:u w:val="single"/>
        </w:rPr>
        <w:t>) göre</w:t>
      </w:r>
      <w:r w:rsidR="00574C38" w:rsidRPr="00C04441">
        <w:t xml:space="preserve"> yüzde </w:t>
      </w:r>
      <w:r>
        <w:t>0,3</w:t>
      </w:r>
      <w:r w:rsidR="00E7657B">
        <w:t xml:space="preserve"> </w:t>
      </w:r>
      <w:r w:rsidR="00770090">
        <w:t>artı</w:t>
      </w:r>
      <w:r w:rsidR="00E7657B">
        <w:t>ş</w:t>
      </w:r>
      <w:r w:rsidR="00FE2D1A">
        <w:t xml:space="preserve"> </w:t>
      </w:r>
      <w:r>
        <w:t>göst</w:t>
      </w:r>
      <w:r w:rsidR="004B6888">
        <w:t>ermiştir</w:t>
      </w:r>
      <w:r w:rsidR="00574C38" w:rsidRPr="00FE2D1A">
        <w:t xml:space="preserve">. </w:t>
      </w:r>
      <w:r>
        <w:t>Kasım</w:t>
      </w:r>
      <w:r w:rsidR="0092656D">
        <w:t xml:space="preserve"> (2017</w:t>
      </w:r>
      <w:r w:rsidR="00574C38" w:rsidRPr="00FE2D1A">
        <w:t>) ayında</w:t>
      </w:r>
      <w:r w:rsidR="007E6746">
        <w:t xml:space="preserve">ki </w:t>
      </w:r>
      <w:r w:rsidR="00770090">
        <w:t>artışta</w:t>
      </w:r>
      <w:r w:rsidR="00DB1F8E">
        <w:t xml:space="preserve"> </w:t>
      </w:r>
      <w:r w:rsidR="007E6746">
        <w:t xml:space="preserve">bir önceki </w:t>
      </w:r>
      <w:r w:rsidR="0092656D">
        <w:t>aya göre</w:t>
      </w:r>
      <w:r w:rsidR="00DB1F8E">
        <w:t xml:space="preserve"> </w:t>
      </w:r>
      <w:r>
        <w:t>m</w:t>
      </w:r>
      <w:r>
        <w:t xml:space="preserve">adencilik ve </w:t>
      </w:r>
      <w:proofErr w:type="spellStart"/>
      <w:r>
        <w:t>taşocakçılığı</w:t>
      </w:r>
      <w:proofErr w:type="spellEnd"/>
      <w:r>
        <w:t xml:space="preserve"> sektöründe</w:t>
      </w:r>
      <w:r>
        <w:t>ki</w:t>
      </w:r>
      <w:r>
        <w:t xml:space="preserve"> </w:t>
      </w:r>
      <w:r>
        <w:t>yüzde 3,2’li</w:t>
      </w:r>
      <w:r w:rsidR="00BF1C98">
        <w:t xml:space="preserve">k </w:t>
      </w:r>
      <w:r>
        <w:t xml:space="preserve">ve </w:t>
      </w:r>
      <w:r>
        <w:t>elektrik, gaz, buhar ve iklimlendirme üretimi ve dağı</w:t>
      </w:r>
      <w:r>
        <w:t xml:space="preserve">tımı sektöründeki yüzde 0,8’lik </w:t>
      </w:r>
      <w:r w:rsidR="00BF1C98">
        <w:t>artışın etkili olduğu görülmektedir.</w:t>
      </w:r>
      <w:r w:rsidR="003F266E">
        <w:t xml:space="preserve"> </w:t>
      </w:r>
      <w:r>
        <w:t>İmalat sanayi</w:t>
      </w:r>
      <w:r w:rsidR="004B6888">
        <w:t xml:space="preserve">nde </w:t>
      </w:r>
      <w:r>
        <w:t xml:space="preserve">ise bir önceki aya göre değişim </w:t>
      </w:r>
      <w:r w:rsidR="004B6888">
        <w:t>yaşanmadığı görülmektedir.</w:t>
      </w:r>
    </w:p>
    <w:p w:rsidR="007B58E6" w:rsidRPr="00FE2D1A" w:rsidRDefault="00C04441" w:rsidP="007B58E6">
      <w:pPr>
        <w:jc w:val="both"/>
      </w:pPr>
      <w:r w:rsidRPr="00FE2D1A">
        <w:t>Ana sanayi gruplarına</w:t>
      </w:r>
      <w:r w:rsidR="007B58E6" w:rsidRPr="00FE2D1A">
        <w:t xml:space="preserve"> bakıldığında </w:t>
      </w:r>
      <w:r w:rsidR="0003703C">
        <w:t xml:space="preserve">toplam sanayi endeksindeki </w:t>
      </w:r>
      <w:r w:rsidR="000A2533">
        <w:t>artışta</w:t>
      </w:r>
      <w:r w:rsidR="009E2652">
        <w:t xml:space="preserve"> </w:t>
      </w:r>
      <w:r w:rsidR="00D42512">
        <w:t>ara</w:t>
      </w:r>
      <w:r w:rsidRPr="00FE2D1A">
        <w:t xml:space="preserve"> </w:t>
      </w:r>
      <w:r w:rsidR="00BF1C98">
        <w:t>malı ve dayanıksız tüketim mallarında</w:t>
      </w:r>
      <w:r w:rsidR="009E2652">
        <w:t xml:space="preserve"> </w:t>
      </w:r>
      <w:r w:rsidR="00736EAB">
        <w:t xml:space="preserve">yaşanan </w:t>
      </w:r>
      <w:r w:rsidR="000A2533">
        <w:t>artışın</w:t>
      </w:r>
      <w:r w:rsidR="007B58E6" w:rsidRPr="00FE2D1A">
        <w:t xml:space="preserve"> etkisi oldu</w:t>
      </w:r>
      <w:r w:rsidR="00FD0F6A" w:rsidRPr="00FE2D1A">
        <w:t>ğu görülmektedir</w:t>
      </w:r>
      <w:r w:rsidR="00521423">
        <w:t xml:space="preserve"> (</w:t>
      </w:r>
      <w:r w:rsidR="00BF1C98">
        <w:t>yüzde 1,2</w:t>
      </w:r>
      <w:r w:rsidR="004B6888">
        <w:t xml:space="preserve">’lik </w:t>
      </w:r>
      <w:r w:rsidR="000A2533">
        <w:t>artı</w:t>
      </w:r>
      <w:r w:rsidR="009E2652">
        <w:t>ş</w:t>
      </w:r>
      <w:r w:rsidR="00521423">
        <w:t>lar</w:t>
      </w:r>
      <w:r w:rsidR="0003703C">
        <w:t>)</w:t>
      </w:r>
      <w:r w:rsidR="007B58E6" w:rsidRPr="00FE2D1A">
        <w:t>.</w:t>
      </w:r>
    </w:p>
    <w:p w:rsidR="00517288" w:rsidRDefault="00517288" w:rsidP="00517288">
      <w:pPr>
        <w:jc w:val="both"/>
      </w:pPr>
      <w:r w:rsidRPr="00431AD9">
        <w:t xml:space="preserve">İmalat sanayinin alt sektörlerinde geçen aya göre </w:t>
      </w:r>
      <w:r w:rsidR="00923FD3" w:rsidRPr="00431AD9">
        <w:t xml:space="preserve">en fazla </w:t>
      </w:r>
      <w:r w:rsidR="002D4D88" w:rsidRPr="00431AD9">
        <w:t>artış</w:t>
      </w:r>
      <w:r w:rsidR="00923FD3" w:rsidRPr="00431AD9">
        <w:t xml:space="preserve"> </w:t>
      </w:r>
      <w:r w:rsidR="00431AD9">
        <w:t>t</w:t>
      </w:r>
      <w:r w:rsidR="00431AD9" w:rsidRPr="00431AD9">
        <w:t>emel eczacılık ürünlerinin ve</w:t>
      </w:r>
      <w:r w:rsidR="00431AD9">
        <w:t xml:space="preserve"> </w:t>
      </w:r>
      <w:r w:rsidR="00431AD9" w:rsidRPr="00431AD9">
        <w:t>eczacılığa ilişkin malzemelerin imalatı</w:t>
      </w:r>
      <w:r w:rsidR="00643409" w:rsidRPr="00431AD9">
        <w:t xml:space="preserve"> </w:t>
      </w:r>
      <w:r w:rsidR="00D42512" w:rsidRPr="00431AD9">
        <w:t xml:space="preserve">( yüzde </w:t>
      </w:r>
      <w:r w:rsidR="00431AD9" w:rsidRPr="00431AD9">
        <w:t>8,8</w:t>
      </w:r>
      <w:r w:rsidR="00802F1A" w:rsidRPr="00431AD9">
        <w:t>) sektöründe gerçekleşti. Bu sektörü</w:t>
      </w:r>
      <w:r w:rsidR="00923FD3" w:rsidRPr="00431AD9">
        <w:t>,</w:t>
      </w:r>
      <w:r w:rsidR="00431AD9" w:rsidRPr="00431AD9">
        <w:t xml:space="preserve"> yüzde 5,6</w:t>
      </w:r>
      <w:r w:rsidR="002D4D88" w:rsidRPr="00431AD9">
        <w:t xml:space="preserve"> artış </w:t>
      </w:r>
      <w:r w:rsidR="00521423" w:rsidRPr="00431AD9">
        <w:t xml:space="preserve">ile </w:t>
      </w:r>
      <w:r w:rsidR="00431AD9" w:rsidRPr="00431AD9">
        <w:t>diğer ulaşım araçlarının</w:t>
      </w:r>
      <w:r w:rsidR="00643409" w:rsidRPr="00431AD9">
        <w:t xml:space="preserve"> </w:t>
      </w:r>
      <w:r w:rsidR="009E2652" w:rsidRPr="00431AD9">
        <w:t>imalatı</w:t>
      </w:r>
      <w:r w:rsidR="003D2889" w:rsidRPr="00431AD9">
        <w:t xml:space="preserve"> </w:t>
      </w:r>
      <w:r w:rsidR="00521423" w:rsidRPr="00431AD9">
        <w:t xml:space="preserve">takip etti. En fazla </w:t>
      </w:r>
      <w:r w:rsidR="002D4D88" w:rsidRPr="00431AD9">
        <w:t xml:space="preserve">azalış </w:t>
      </w:r>
      <w:r w:rsidR="00521423" w:rsidRPr="00431AD9">
        <w:t xml:space="preserve">ise yüzde </w:t>
      </w:r>
      <w:r w:rsidR="00431AD9" w:rsidRPr="00431AD9">
        <w:t>17,3</w:t>
      </w:r>
      <w:r w:rsidR="00643409" w:rsidRPr="00431AD9">
        <w:t xml:space="preserve"> ile </w:t>
      </w:r>
      <w:r w:rsidR="00431AD9">
        <w:t>k</w:t>
      </w:r>
      <w:r w:rsidR="00431AD9" w:rsidRPr="00431AD9">
        <w:t xml:space="preserve">ok kömürü ve rafine edilmiş petrol ürünleri imalatı </w:t>
      </w:r>
      <w:r w:rsidR="00802F1A" w:rsidRPr="00431AD9">
        <w:t>sektöründe</w:t>
      </w:r>
      <w:r w:rsidR="00521423" w:rsidRPr="00431AD9">
        <w:t xml:space="preserve"> gerçekleşti.</w:t>
      </w:r>
    </w:p>
    <w:p w:rsidR="00A722F2" w:rsidRDefault="00A722F2" w:rsidP="00160C8F">
      <w:pPr>
        <w:jc w:val="both"/>
      </w:pPr>
    </w:p>
    <w:p w:rsidR="004B6888" w:rsidRDefault="004B6888" w:rsidP="00160C8F">
      <w:pPr>
        <w:jc w:val="both"/>
      </w:pPr>
    </w:p>
    <w:p w:rsidR="002D4D88" w:rsidRDefault="00160C8F" w:rsidP="00160C8F">
      <w:pPr>
        <w:jc w:val="both"/>
      </w:pPr>
      <w:r w:rsidRPr="00756492">
        <w:lastRenderedPageBreak/>
        <w:t xml:space="preserve">Endeks </w:t>
      </w:r>
      <w:r w:rsidRPr="00756492">
        <w:rPr>
          <w:b/>
          <w:u w:val="single"/>
        </w:rPr>
        <w:t>bir önceki yılın aynı ayına göre</w:t>
      </w:r>
      <w:r w:rsidRPr="00756492">
        <w:t xml:space="preserve"> yüzde </w:t>
      </w:r>
      <w:r w:rsidR="004B6888">
        <w:t>7,0</w:t>
      </w:r>
      <w:r w:rsidR="002D4D88">
        <w:t xml:space="preserve"> </w:t>
      </w:r>
      <w:r w:rsidRPr="00756492">
        <w:t xml:space="preserve">oranında </w:t>
      </w:r>
      <w:r w:rsidR="00756492">
        <w:t xml:space="preserve">artış </w:t>
      </w:r>
      <w:r w:rsidRPr="00756492">
        <w:t xml:space="preserve">göstermiştir. </w:t>
      </w:r>
      <w:r w:rsidR="004B6888">
        <w:t>Kasım</w:t>
      </w:r>
      <w:r w:rsidR="009D3086">
        <w:t xml:space="preserve"> (2017</w:t>
      </w:r>
      <w:r w:rsidRPr="00756492">
        <w:t xml:space="preserve">) ayında önceki yıla göre ana sanayi </w:t>
      </w:r>
      <w:r w:rsidR="00C04441" w:rsidRPr="00756492">
        <w:t>sektörleri</w:t>
      </w:r>
      <w:r w:rsidRPr="00756492">
        <w:t xml:space="preserve"> itibariyle en yüksek artış </w:t>
      </w:r>
      <w:r w:rsidR="004B6888">
        <w:t>yüzde 7,1</w:t>
      </w:r>
      <w:r w:rsidR="005A54BA">
        <w:t xml:space="preserve"> ile imalat sanayi </w:t>
      </w:r>
      <w:r w:rsidR="00A0036E">
        <w:t xml:space="preserve">sektöründe </w:t>
      </w:r>
      <w:r w:rsidR="002D4D88">
        <w:t>gerçekleşti. B</w:t>
      </w:r>
      <w:r w:rsidRPr="00756492">
        <w:t xml:space="preserve">unu </w:t>
      </w:r>
      <w:r w:rsidR="005A54BA" w:rsidRPr="00756492">
        <w:t xml:space="preserve">yüzde </w:t>
      </w:r>
      <w:r w:rsidR="004B6888">
        <w:t>6,7</w:t>
      </w:r>
      <w:r w:rsidR="005A54BA">
        <w:t xml:space="preserve"> ile </w:t>
      </w:r>
      <w:r w:rsidR="005A54BA" w:rsidRPr="00756492">
        <w:t>elektrik, gaz, buhar ve iklimlendirme üretimi ve dağıtımı</w:t>
      </w:r>
      <w:r w:rsidR="004B6888">
        <w:t xml:space="preserve"> ve yüzde 5,9’luk artışla madencilik ve </w:t>
      </w:r>
      <w:proofErr w:type="spellStart"/>
      <w:r w:rsidR="004B6888">
        <w:t>taş</w:t>
      </w:r>
      <w:r w:rsidR="002D4D88">
        <w:t>ocakçılığı</w:t>
      </w:r>
      <w:proofErr w:type="spellEnd"/>
      <w:r w:rsidR="002D4D88">
        <w:t xml:space="preserve"> sektörleri</w:t>
      </w:r>
      <w:r w:rsidR="00A0036E">
        <w:t xml:space="preserve"> </w:t>
      </w:r>
      <w:r w:rsidR="009D3086">
        <w:t>takip etti.</w:t>
      </w:r>
      <w:r w:rsidR="006E77D7">
        <w:t xml:space="preserve"> </w:t>
      </w:r>
    </w:p>
    <w:p w:rsidR="00160C8F" w:rsidRPr="004D5C8C" w:rsidRDefault="00C04441" w:rsidP="00160C8F">
      <w:pPr>
        <w:jc w:val="both"/>
      </w:pPr>
      <w:r w:rsidRPr="004D5C8C">
        <w:t>Ana sanayi gruplarına</w:t>
      </w:r>
      <w:r w:rsidR="00160C8F" w:rsidRPr="004D5C8C">
        <w:t xml:space="preserve"> bakıldığında</w:t>
      </w:r>
      <w:r w:rsidR="00D72BD4">
        <w:t>,</w:t>
      </w:r>
      <w:r w:rsidRPr="004D5C8C">
        <w:t xml:space="preserve"> </w:t>
      </w:r>
      <w:r w:rsidR="000449DE">
        <w:t>sermaye</w:t>
      </w:r>
      <w:r w:rsidR="00062D7C">
        <w:t xml:space="preserve"> malı imalatında yüzde </w:t>
      </w:r>
      <w:r w:rsidR="004B6888">
        <w:t>10,9’lu</w:t>
      </w:r>
      <w:r w:rsidR="00321B60">
        <w:t>k</w:t>
      </w:r>
      <w:r w:rsidR="009D3086">
        <w:t>,</w:t>
      </w:r>
      <w:r w:rsidR="002D4D88">
        <w:t xml:space="preserve"> </w:t>
      </w:r>
      <w:r w:rsidR="000449DE">
        <w:t>ara malı</w:t>
      </w:r>
      <w:r w:rsidR="002D4D88">
        <w:t xml:space="preserve"> imalatında yüzde </w:t>
      </w:r>
      <w:r w:rsidR="004B6888">
        <w:t>7,8’li</w:t>
      </w:r>
      <w:r w:rsidR="000449DE">
        <w:t>k</w:t>
      </w:r>
      <w:r w:rsidR="00F111FE">
        <w:t xml:space="preserve">, </w:t>
      </w:r>
      <w:r w:rsidR="004B6888">
        <w:t>dayanıksız</w:t>
      </w:r>
      <w:r w:rsidR="004B6888">
        <w:t xml:space="preserve"> tüketim malı imalatında yüzde 7,5’li</w:t>
      </w:r>
      <w:r w:rsidR="004B6888">
        <w:t xml:space="preserve">k </w:t>
      </w:r>
      <w:r w:rsidR="004B6888">
        <w:t xml:space="preserve">ve </w:t>
      </w:r>
      <w:r w:rsidR="00A50B41">
        <w:t xml:space="preserve">enerji </w:t>
      </w:r>
      <w:r w:rsidR="004B6888">
        <w:t>imalatında yüzde 2,5</w:t>
      </w:r>
      <w:r w:rsidR="009D3086">
        <w:t>’</w:t>
      </w:r>
      <w:r w:rsidR="000449DE">
        <w:t>li</w:t>
      </w:r>
      <w:r w:rsidR="002D4D88">
        <w:t>k</w:t>
      </w:r>
      <w:r w:rsidR="004B6888">
        <w:t xml:space="preserve"> artış yaşandığı görülmektedir. Dayanıklı tüketim malı imalatında ise yüzde 2,6’lık azalış yaşandığı görülmektedir. </w:t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2: </w:t>
      </w:r>
      <w:r w:rsidR="00FD0F6A"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Yıllara göre </w:t>
      </w:r>
      <w:r w:rsidR="00561558">
        <w:rPr>
          <w:rFonts w:eastAsia="Times New Roman" w:cs="Times New Roman"/>
          <w:b/>
          <w:bCs/>
          <w:kern w:val="36"/>
          <w:sz w:val="24"/>
          <w:szCs w:val="24"/>
        </w:rPr>
        <w:t>Kasım</w:t>
      </w:r>
      <w:r w:rsidR="00FD0F6A"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 ayları itibariyle sanayi üretim endeksi </w:t>
      </w:r>
    </w:p>
    <w:p w:rsidR="00ED46EA" w:rsidRPr="004D5C8C" w:rsidRDefault="00FD0F6A" w:rsidP="00CF56CB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>(takvim etkisinden arındırılmış, 2010=100)</w:t>
      </w:r>
    </w:p>
    <w:p w:rsidR="00FD0F6A" w:rsidRPr="00CF56CB" w:rsidRDefault="00561558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  <w:r>
        <w:rPr>
          <w:noProof/>
        </w:rPr>
        <w:drawing>
          <wp:inline distT="0" distB="0" distL="0" distR="0" wp14:anchorId="4C948A2A" wp14:editId="09CBB2D6">
            <wp:extent cx="5343525" cy="2743200"/>
            <wp:effectExtent l="0" t="0" r="9525" b="1905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10"/>
        <w:gridCol w:w="2153"/>
        <w:gridCol w:w="2067"/>
      </w:tblGrid>
      <w:tr w:rsidR="00160C8F" w:rsidRPr="004D5C8C" w:rsidTr="00DB1389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770090">
            <w:pPr>
              <w:jc w:val="both"/>
            </w:pPr>
            <w:r w:rsidRPr="004D5C8C">
              <w:rPr>
                <w:b/>
              </w:rPr>
              <w:t xml:space="preserve">Tablo 1: Sanayi Üretim Endeksi Büyüme Oranları,  </w:t>
            </w:r>
            <w:r w:rsidR="002625C7">
              <w:rPr>
                <w:b/>
              </w:rPr>
              <w:t>Kasım</w:t>
            </w:r>
            <w:r w:rsidR="00ED46EA">
              <w:rPr>
                <w:b/>
              </w:rPr>
              <w:t xml:space="preserve"> 2017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Aya Göre</w:t>
            </w:r>
            <w:r w:rsidR="00923FD3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Yıla Göre</w:t>
            </w:r>
            <w:r w:rsidR="00923FD3" w:rsidRPr="004D5C8C">
              <w:t xml:space="preserve"> (%)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Ara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D930AD" w:rsidP="00D42512">
            <w:pPr>
              <w:jc w:val="center"/>
            </w:pPr>
            <w:r>
              <w:t>1,2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D0085D" w:rsidP="00D42512">
            <w:pPr>
              <w:jc w:val="center"/>
            </w:pPr>
            <w:r>
              <w:t>7,8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Dayanıklı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D0085D" w:rsidP="00D42512">
            <w:pPr>
              <w:jc w:val="center"/>
            </w:pPr>
            <w:r>
              <w:t>-1,4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D0085D" w:rsidP="00D42512">
            <w:pPr>
              <w:jc w:val="center"/>
            </w:pPr>
            <w:r>
              <w:t>-2,6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Dayanıksız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D0085D" w:rsidP="00D42512">
            <w:pPr>
              <w:jc w:val="center"/>
            </w:pPr>
            <w:r>
              <w:t>1,2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D0085D" w:rsidP="00D42512">
            <w:pPr>
              <w:jc w:val="center"/>
            </w:pPr>
            <w:r>
              <w:t>7,5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Enerji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D0085D" w:rsidP="00D42512">
            <w:pPr>
              <w:jc w:val="center"/>
            </w:pPr>
            <w:r>
              <w:t>-1,0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D0085D" w:rsidP="00D42512">
            <w:pPr>
              <w:jc w:val="center"/>
            </w:pPr>
            <w:r>
              <w:t>2,5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Sermaye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D0085D" w:rsidP="00D42512">
            <w:pPr>
              <w:jc w:val="center"/>
            </w:pPr>
            <w:r>
              <w:t>-1,1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D0085D" w:rsidP="00D42512">
            <w:pPr>
              <w:jc w:val="center"/>
            </w:pPr>
            <w:r>
              <w:t>10,9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D0085D" w:rsidP="00D42512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D0085D" w:rsidP="00D42512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  <w:tr w:rsidR="0043515F" w:rsidRPr="004D5C8C" w:rsidTr="0043515F">
        <w:trPr>
          <w:trHeight w:val="264"/>
        </w:trPr>
        <w:tc>
          <w:tcPr>
            <w:tcW w:w="4110" w:type="dxa"/>
            <w:shd w:val="clear" w:color="auto" w:fill="7F7F7F" w:themeFill="text1" w:themeFillTint="80"/>
            <w:noWrap/>
            <w:hideMark/>
          </w:tcPr>
          <w:p w:rsidR="0043515F" w:rsidRPr="004D5C8C" w:rsidRDefault="0043515F" w:rsidP="004D5C8C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7F7F7F" w:themeFill="text1" w:themeFillTint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  <w:tc>
          <w:tcPr>
            <w:tcW w:w="2067" w:type="dxa"/>
            <w:shd w:val="clear" w:color="auto" w:fill="7F7F7F" w:themeFill="text1" w:themeFillTint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</w:tr>
      <w:tr w:rsidR="00160C8F" w:rsidRPr="004D5C8C" w:rsidTr="003F2715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E7657B" w:rsidP="002625C7">
            <w:pPr>
              <w:jc w:val="both"/>
            </w:pPr>
            <w:r>
              <w:rPr>
                <w:b/>
              </w:rPr>
              <w:t xml:space="preserve">Tablo 2: Sanayi Üretim Endeksi </w:t>
            </w:r>
            <w:proofErr w:type="spellStart"/>
            <w:r w:rsidR="00160C8F" w:rsidRPr="004D5C8C">
              <w:rPr>
                <w:b/>
              </w:rPr>
              <w:t>Sektörel</w:t>
            </w:r>
            <w:proofErr w:type="spellEnd"/>
            <w:r w:rsidR="00160C8F" w:rsidRPr="004D5C8C">
              <w:rPr>
                <w:b/>
              </w:rPr>
              <w:t xml:space="preserve"> Büyüme Oranları, </w:t>
            </w:r>
            <w:r w:rsidR="002625C7">
              <w:rPr>
                <w:b/>
              </w:rPr>
              <w:t>Kasım</w:t>
            </w:r>
            <w:r w:rsidR="00ED46EA">
              <w:rPr>
                <w:b/>
              </w:rPr>
              <w:t xml:space="preserve"> 2017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Aya Göre</w:t>
            </w:r>
            <w:r w:rsidR="008A575D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Yıla Göre</w:t>
            </w:r>
            <w:r w:rsidR="008A575D" w:rsidRPr="004D5C8C">
              <w:t xml:space="preserve"> (%)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r w:rsidRPr="004D5C8C">
              <w:t>Madencilik ve Taşocakçılığı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D0085D" w:rsidP="00D42512">
            <w:pPr>
              <w:jc w:val="center"/>
            </w:pPr>
            <w:r>
              <w:t>3,2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D0085D" w:rsidP="00D42512">
            <w:pPr>
              <w:jc w:val="center"/>
            </w:pPr>
            <w:r>
              <w:t>5,9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İmalat Sanayi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D0085D" w:rsidP="00D42512">
            <w:pPr>
              <w:jc w:val="center"/>
            </w:pPr>
            <w:r>
              <w:t>0,0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D0085D" w:rsidP="00D42512">
            <w:pPr>
              <w:jc w:val="center"/>
            </w:pPr>
            <w:r>
              <w:t>7,1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Elektrik, Gaz, Buhar ve İklimlendirme Üretimi ve Dağıtımı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D0085D" w:rsidP="00D42512">
            <w:pPr>
              <w:jc w:val="center"/>
            </w:pPr>
            <w:r>
              <w:t>0,8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D0085D" w:rsidP="00D42512">
            <w:pPr>
              <w:jc w:val="center"/>
            </w:pPr>
            <w:r>
              <w:t>6,7</w:t>
            </w:r>
          </w:p>
        </w:tc>
      </w:tr>
      <w:tr w:rsidR="00160C8F" w:rsidRPr="00160C8F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316F1D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D0085D" w:rsidP="00D42512">
            <w:pPr>
              <w:jc w:val="center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24CC0" w:rsidRDefault="00D0085D" w:rsidP="00D42512">
            <w:pPr>
              <w:jc w:val="center"/>
              <w:rPr>
                <w:b/>
              </w:rPr>
            </w:pPr>
            <w:r>
              <w:rPr>
                <w:b/>
              </w:rPr>
              <w:t>7,0</w:t>
            </w:r>
          </w:p>
        </w:tc>
      </w:tr>
    </w:tbl>
    <w:p w:rsidR="00160C8F" w:rsidRDefault="00160C8F" w:rsidP="00FE2D1A">
      <w:pPr>
        <w:jc w:val="both"/>
      </w:pPr>
    </w:p>
    <w:sectPr w:rsidR="00160C8F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65C" w:rsidRDefault="00EE565C" w:rsidP="00C04441">
      <w:pPr>
        <w:spacing w:after="0" w:line="240" w:lineRule="auto"/>
      </w:pPr>
      <w:r>
        <w:separator/>
      </w:r>
    </w:p>
  </w:endnote>
  <w:endnote w:type="continuationSeparator" w:id="0">
    <w:p w:rsidR="00EE565C" w:rsidRDefault="00EE565C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65C" w:rsidRDefault="00EE565C" w:rsidP="00C04441">
      <w:pPr>
        <w:spacing w:after="0" w:line="240" w:lineRule="auto"/>
      </w:pPr>
      <w:r>
        <w:separator/>
      </w:r>
    </w:p>
  </w:footnote>
  <w:footnote w:type="continuationSeparator" w:id="0">
    <w:p w:rsidR="00EE565C" w:rsidRDefault="00EE565C" w:rsidP="00C04441">
      <w:pPr>
        <w:spacing w:after="0" w:line="240" w:lineRule="auto"/>
      </w:pPr>
      <w:r>
        <w:continuationSeparator/>
      </w:r>
    </w:p>
  </w:footnote>
  <w:footnote w:id="1">
    <w:p w:rsidR="00522A6C" w:rsidRDefault="00522A6C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arındırılmış veriler kullanılmaktadır</w:t>
      </w:r>
      <w:r w:rsidR="0046068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3703C"/>
    <w:rsid w:val="000449DE"/>
    <w:rsid w:val="00062D7C"/>
    <w:rsid w:val="000701FD"/>
    <w:rsid w:val="00070A53"/>
    <w:rsid w:val="000A2533"/>
    <w:rsid w:val="000B7EA9"/>
    <w:rsid w:val="000D18BE"/>
    <w:rsid w:val="00112C0F"/>
    <w:rsid w:val="00114EEB"/>
    <w:rsid w:val="001243A0"/>
    <w:rsid w:val="00135340"/>
    <w:rsid w:val="00160C8F"/>
    <w:rsid w:val="0017212E"/>
    <w:rsid w:val="0019156C"/>
    <w:rsid w:val="001A1146"/>
    <w:rsid w:val="001C74F4"/>
    <w:rsid w:val="001D08EA"/>
    <w:rsid w:val="001E11A2"/>
    <w:rsid w:val="001E5A63"/>
    <w:rsid w:val="001F7633"/>
    <w:rsid w:val="002145C8"/>
    <w:rsid w:val="00233BD5"/>
    <w:rsid w:val="002625C7"/>
    <w:rsid w:val="0028186A"/>
    <w:rsid w:val="002B2CC6"/>
    <w:rsid w:val="002B53E4"/>
    <w:rsid w:val="002D3E19"/>
    <w:rsid w:val="002D4D88"/>
    <w:rsid w:val="002D5594"/>
    <w:rsid w:val="00303320"/>
    <w:rsid w:val="00317C4E"/>
    <w:rsid w:val="00321B60"/>
    <w:rsid w:val="00350144"/>
    <w:rsid w:val="00351561"/>
    <w:rsid w:val="00354CE2"/>
    <w:rsid w:val="00357954"/>
    <w:rsid w:val="003641B3"/>
    <w:rsid w:val="00370B3E"/>
    <w:rsid w:val="003733E7"/>
    <w:rsid w:val="003A5037"/>
    <w:rsid w:val="003A57CB"/>
    <w:rsid w:val="003D2889"/>
    <w:rsid w:val="003F266E"/>
    <w:rsid w:val="003F2715"/>
    <w:rsid w:val="00407EC9"/>
    <w:rsid w:val="00424CC0"/>
    <w:rsid w:val="00431AD9"/>
    <w:rsid w:val="00432DF5"/>
    <w:rsid w:val="0043515F"/>
    <w:rsid w:val="00460688"/>
    <w:rsid w:val="004641F9"/>
    <w:rsid w:val="00492DFF"/>
    <w:rsid w:val="004B6888"/>
    <w:rsid w:val="004D5C8C"/>
    <w:rsid w:val="00517288"/>
    <w:rsid w:val="00521423"/>
    <w:rsid w:val="00522A6C"/>
    <w:rsid w:val="005405F5"/>
    <w:rsid w:val="00544D61"/>
    <w:rsid w:val="00561558"/>
    <w:rsid w:val="00574C38"/>
    <w:rsid w:val="005758F2"/>
    <w:rsid w:val="005A54BA"/>
    <w:rsid w:val="005B2B26"/>
    <w:rsid w:val="005C53F8"/>
    <w:rsid w:val="006020BD"/>
    <w:rsid w:val="00625E9B"/>
    <w:rsid w:val="00640824"/>
    <w:rsid w:val="00643409"/>
    <w:rsid w:val="00677B0D"/>
    <w:rsid w:val="00685E8C"/>
    <w:rsid w:val="006B6AEA"/>
    <w:rsid w:val="006D41B5"/>
    <w:rsid w:val="006E77D7"/>
    <w:rsid w:val="0070186C"/>
    <w:rsid w:val="00716E35"/>
    <w:rsid w:val="00731B2B"/>
    <w:rsid w:val="007330A1"/>
    <w:rsid w:val="00736EAB"/>
    <w:rsid w:val="007441EB"/>
    <w:rsid w:val="00756492"/>
    <w:rsid w:val="00770090"/>
    <w:rsid w:val="007700BF"/>
    <w:rsid w:val="007736BE"/>
    <w:rsid w:val="007A6AB2"/>
    <w:rsid w:val="007B58E6"/>
    <w:rsid w:val="007E6746"/>
    <w:rsid w:val="00802F1A"/>
    <w:rsid w:val="008A575D"/>
    <w:rsid w:val="008C2C15"/>
    <w:rsid w:val="008C7F9E"/>
    <w:rsid w:val="008D1077"/>
    <w:rsid w:val="00907E0D"/>
    <w:rsid w:val="00923FD3"/>
    <w:rsid w:val="0092656D"/>
    <w:rsid w:val="00935B34"/>
    <w:rsid w:val="009A6E86"/>
    <w:rsid w:val="009D3086"/>
    <w:rsid w:val="009E2652"/>
    <w:rsid w:val="009E756B"/>
    <w:rsid w:val="009F0A83"/>
    <w:rsid w:val="009F54F1"/>
    <w:rsid w:val="00A0036E"/>
    <w:rsid w:val="00A50B41"/>
    <w:rsid w:val="00A705F6"/>
    <w:rsid w:val="00A722F2"/>
    <w:rsid w:val="00A77365"/>
    <w:rsid w:val="00A83FD3"/>
    <w:rsid w:val="00AB7627"/>
    <w:rsid w:val="00AD2065"/>
    <w:rsid w:val="00B0776B"/>
    <w:rsid w:val="00B2786A"/>
    <w:rsid w:val="00B4315C"/>
    <w:rsid w:val="00B55EB8"/>
    <w:rsid w:val="00B84FE9"/>
    <w:rsid w:val="00B86368"/>
    <w:rsid w:val="00B8689F"/>
    <w:rsid w:val="00B94EA9"/>
    <w:rsid w:val="00B96B22"/>
    <w:rsid w:val="00BA000A"/>
    <w:rsid w:val="00BC294E"/>
    <w:rsid w:val="00BC5F10"/>
    <w:rsid w:val="00BF1C98"/>
    <w:rsid w:val="00C04441"/>
    <w:rsid w:val="00C144CC"/>
    <w:rsid w:val="00C21D8B"/>
    <w:rsid w:val="00C75496"/>
    <w:rsid w:val="00C97AFA"/>
    <w:rsid w:val="00CC7D5F"/>
    <w:rsid w:val="00CE4BAC"/>
    <w:rsid w:val="00CF56CB"/>
    <w:rsid w:val="00D0085D"/>
    <w:rsid w:val="00D21190"/>
    <w:rsid w:val="00D2299D"/>
    <w:rsid w:val="00D23355"/>
    <w:rsid w:val="00D26126"/>
    <w:rsid w:val="00D42512"/>
    <w:rsid w:val="00D60CCE"/>
    <w:rsid w:val="00D72BD4"/>
    <w:rsid w:val="00D930AD"/>
    <w:rsid w:val="00DB1389"/>
    <w:rsid w:val="00DB1F8E"/>
    <w:rsid w:val="00DC5FDC"/>
    <w:rsid w:val="00DE7934"/>
    <w:rsid w:val="00E46DD4"/>
    <w:rsid w:val="00E7657B"/>
    <w:rsid w:val="00EC4AA2"/>
    <w:rsid w:val="00ED4544"/>
    <w:rsid w:val="00ED46EA"/>
    <w:rsid w:val="00EE0B38"/>
    <w:rsid w:val="00EE2F80"/>
    <w:rsid w:val="00EE565C"/>
    <w:rsid w:val="00EE5ABD"/>
    <w:rsid w:val="00EF4E45"/>
    <w:rsid w:val="00EF621F"/>
    <w:rsid w:val="00F061D6"/>
    <w:rsid w:val="00F111FE"/>
    <w:rsid w:val="00F5758A"/>
    <w:rsid w:val="00FD0F6A"/>
    <w:rsid w:val="00FE2D1A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masa&#252;st&#252;\ENDEKS%20VE%20B&#220;LTENLER\Sanayi%20&#220;retim%20Endeksi\11.Kas&#305;m\S&#220;E_Kas&#305;m.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masa&#252;st&#252;\ENDEKS%20VE%20B&#220;LTENLER\Sanayi%20&#220;retim%20Endeksi\11.Kas&#305;m\S&#220;E_Kas&#305;m.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'mevsim ve takvim'!$A$2</c:f>
              <c:strCache>
                <c:ptCount val="1"/>
                <c:pt idx="0">
                  <c:v>2016</c:v>
                </c:pt>
              </c:strCache>
            </c:strRef>
          </c:tx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takvim'!$B$2:$M$2</c:f>
              <c:numCache>
                <c:formatCode>0.0</c:formatCode>
                <c:ptCount val="12"/>
                <c:pt idx="0">
                  <c:v>126.97683152493644</c:v>
                </c:pt>
                <c:pt idx="1">
                  <c:v>128.29312536558868</c:v>
                </c:pt>
                <c:pt idx="2">
                  <c:v>127.60179689771647</c:v>
                </c:pt>
                <c:pt idx="3">
                  <c:v>125.61793085786121</c:v>
                </c:pt>
                <c:pt idx="4">
                  <c:v>127.60674845697709</c:v>
                </c:pt>
                <c:pt idx="5">
                  <c:v>126.83372095613379</c:v>
                </c:pt>
                <c:pt idx="6">
                  <c:v>117.73532517751113</c:v>
                </c:pt>
                <c:pt idx="7">
                  <c:v>128.20565922117902</c:v>
                </c:pt>
                <c:pt idx="8">
                  <c:v>123.24688613943346</c:v>
                </c:pt>
                <c:pt idx="9">
                  <c:v>127.9043341218575</c:v>
                </c:pt>
                <c:pt idx="10">
                  <c:v>128.02757786262677</c:v>
                </c:pt>
                <c:pt idx="11">
                  <c:v>128.14509432539415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'mevsim ve takvim'!$A$3</c:f>
              <c:strCache>
                <c:ptCount val="1"/>
                <c:pt idx="0">
                  <c:v>2017</c:v>
                </c:pt>
              </c:strCache>
            </c:strRef>
          </c:tx>
          <c:marker>
            <c:symbol val="none"/>
          </c:marker>
          <c:dLbls>
            <c:dLbl>
              <c:idx val="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873221216041367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takvim'!$B$3:$M$3</c:f>
              <c:numCache>
                <c:formatCode>0.0</c:formatCode>
                <c:ptCount val="12"/>
                <c:pt idx="0">
                  <c:v>129.80771931541489</c:v>
                </c:pt>
                <c:pt idx="1">
                  <c:v>129.45708435424373</c:v>
                </c:pt>
                <c:pt idx="2">
                  <c:v>130.95348889022421</c:v>
                </c:pt>
                <c:pt idx="3">
                  <c:v>134.08176367323642</c:v>
                </c:pt>
                <c:pt idx="4">
                  <c:v>132.15884898124423</c:v>
                </c:pt>
                <c:pt idx="5">
                  <c:v>131.93290319341091</c:v>
                </c:pt>
                <c:pt idx="6">
                  <c:v>134.98631416902612</c:v>
                </c:pt>
                <c:pt idx="7">
                  <c:v>134.99534833961494</c:v>
                </c:pt>
                <c:pt idx="8">
                  <c:v>135.83658397178422</c:v>
                </c:pt>
                <c:pt idx="9">
                  <c:v>136.91545217729404</c:v>
                </c:pt>
                <c:pt idx="10">
                  <c:v>137.28430331919057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3544320"/>
        <c:axId val="233556992"/>
      </c:lineChart>
      <c:catAx>
        <c:axId val="233544320"/>
        <c:scaling>
          <c:orientation val="minMax"/>
        </c:scaling>
        <c:delete val="0"/>
        <c:axPos val="b"/>
        <c:majorTickMark val="out"/>
        <c:minorTickMark val="none"/>
        <c:tickLblPos val="nextTo"/>
        <c:crossAx val="233556992"/>
        <c:crosses val="autoZero"/>
        <c:auto val="1"/>
        <c:lblAlgn val="ctr"/>
        <c:lblOffset val="100"/>
        <c:noMultiLvlLbl val="0"/>
      </c:catAx>
      <c:valAx>
        <c:axId val="233556992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233544320"/>
        <c:crosses val="autoZero"/>
        <c:crossBetween val="between"/>
        <c:majorUnit val="5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takvim!$B$9:$E$9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takvim!$B$10:$E$10</c:f>
              <c:numCache>
                <c:formatCode>0.0</c:formatCode>
                <c:ptCount val="4"/>
                <c:pt idx="0">
                  <c:v>125.51212340219274</c:v>
                </c:pt>
                <c:pt idx="1">
                  <c:v>129.88673733340579</c:v>
                </c:pt>
                <c:pt idx="2">
                  <c:v>133.19025851725968</c:v>
                </c:pt>
                <c:pt idx="3">
                  <c:v>142.53037208764692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4044032"/>
        <c:axId val="234051456"/>
      </c:lineChart>
      <c:catAx>
        <c:axId val="234044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4051456"/>
        <c:crosses val="autoZero"/>
        <c:auto val="1"/>
        <c:lblAlgn val="ctr"/>
        <c:lblOffset val="100"/>
        <c:noMultiLvlLbl val="0"/>
      </c:catAx>
      <c:valAx>
        <c:axId val="234051456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crossAx val="234044032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txPr>
    <a:bodyPr/>
    <a:lstStyle/>
    <a:p>
      <a:pPr>
        <a:defRPr b="1"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E9482-1160-433E-8973-77B7377F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AsusN20</cp:lastModifiedBy>
  <cp:revision>23</cp:revision>
  <cp:lastPrinted>2018-01-08T08:11:00Z</cp:lastPrinted>
  <dcterms:created xsi:type="dcterms:W3CDTF">2017-11-09T10:37:00Z</dcterms:created>
  <dcterms:modified xsi:type="dcterms:W3CDTF">2018-01-08T08:23:00Z</dcterms:modified>
</cp:coreProperties>
</file>